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000000" w:rsidRDefault="001E5718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40" w:hanging="1040"/>
              <w:rPr>
                <w:sz w:val="30"/>
              </w:rPr>
            </w:pPr>
            <w:bookmarkStart w:id="0" w:name="_GoBack"/>
            <w:bookmarkEnd w:id="0"/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30"/>
              </w:rPr>
              <w:tab/>
            </w:r>
            <w:r>
              <w:t>Reinforce your knowledge of the functions of parts of an eye and parts of a camera.</w:t>
            </w:r>
          </w:p>
        </w:tc>
      </w:tr>
    </w:tbl>
    <w:p w:rsidR="00000000" w:rsidRDefault="001E5718">
      <w:pPr>
        <w:pStyle w:val="H1"/>
        <w:spacing w:before="200"/>
      </w:pPr>
      <w:r>
        <w:t>What to Do</w:t>
      </w:r>
    </w:p>
    <w:p w:rsidR="00000000" w:rsidRDefault="001E5718">
      <w:pPr>
        <w:pStyle w:val="Text"/>
      </w:pPr>
      <w:r>
        <w:t xml:space="preserve">Complete the following table to compare an eye with a camera. Do not write anything in the shaded boxes. For help, review pages 203, 204, and 223 of </w:t>
      </w:r>
      <w:r>
        <w:rPr>
          <w:rFonts w:ascii="JansonText-Italic" w:hAnsi="JansonText-Italic"/>
        </w:rPr>
        <w:t>BC S</w:t>
      </w:r>
      <w:r>
        <w:rPr>
          <w:rFonts w:ascii="JansonText-Italic" w:hAnsi="JansonText-Italic"/>
        </w:rPr>
        <w:t>cience 8</w:t>
      </w:r>
      <w:r>
        <w:t>.</w:t>
      </w:r>
    </w:p>
    <w:p w:rsidR="00000000" w:rsidRDefault="001E5718">
      <w:pPr>
        <w:pStyle w:val="Text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8"/>
        <w:gridCol w:w="2976"/>
        <w:gridCol w:w="2226"/>
        <w:gridCol w:w="26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5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Eye</w:t>
            </w:r>
          </w:p>
        </w:tc>
        <w:tc>
          <w:tcPr>
            <w:tcW w:w="489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Camera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Part</w:t>
            </w:r>
          </w:p>
        </w:tc>
        <w:tc>
          <w:tcPr>
            <w:tcW w:w="2976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Function</w:t>
            </w:r>
          </w:p>
        </w:tc>
        <w:tc>
          <w:tcPr>
            <w:tcW w:w="2226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Part</w:t>
            </w:r>
          </w:p>
        </w:tc>
        <w:tc>
          <w:tcPr>
            <w:tcW w:w="2664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  <w:jc w:val="center"/>
              <w:rPr>
                <w:rFonts w:ascii="JansonText-Bold" w:hAnsi="JansonText-Bold"/>
              </w:rPr>
            </w:pPr>
            <w:r>
              <w:rPr>
                <w:rFonts w:ascii="JansonText-Bold" w:hAnsi="JansonText-Bold"/>
              </w:rPr>
              <w:t>Function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shutter</w:t>
            </w: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  <w:r>
              <w:t>opens to take a picture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retina</w:t>
            </w: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  <w:r>
              <w:t>catches the image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  <w:r>
              <w:t>clear covering over the eye</w:t>
            </w: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protective glass</w:t>
            </w: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  <w:r>
              <w:t>lens cover protects the lens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iris</w:t>
            </w: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diaphragm</w:t>
            </w: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automatic brightness adjustment</w:t>
            </w: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  <w:r>
              <w:t>opens and clo</w:t>
            </w:r>
            <w:r>
              <w:t>ses the diaphragm according to brightness of the subject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  <w:r>
              <w:t>focusses the image on the retina</w:t>
            </w: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muscle</w:t>
            </w: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focussing ring</w:t>
            </w:r>
          </w:p>
        </w:tc>
        <w:tc>
          <w:tcPr>
            <w:tcW w:w="2664" w:type="dxa"/>
          </w:tcPr>
          <w:p w:rsidR="00000000" w:rsidRDefault="001E5718">
            <w:pPr>
              <w:pStyle w:val="Text"/>
              <w:spacing w:before="30" w:after="3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  <w:jc w:val="center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00000" w:rsidRDefault="001E5718">
            <w:pPr>
              <w:pStyle w:val="Text"/>
              <w:spacing w:before="30" w:after="30"/>
              <w:jc w:val="center"/>
            </w:pPr>
            <w:r>
              <w:t>aperture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000000" w:rsidRDefault="001E5718">
            <w:pPr>
              <w:pStyle w:val="Text"/>
              <w:spacing w:before="30" w:after="30"/>
            </w:pPr>
            <w:r>
              <w:t>hole through which light enters the camera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8" w:type="dxa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976" w:type="dxa"/>
          </w:tcPr>
          <w:p w:rsidR="00000000" w:rsidRDefault="001E5718">
            <w:pPr>
              <w:pStyle w:val="Text"/>
              <w:spacing w:before="30" w:after="30"/>
            </w:pPr>
            <w:r>
              <w:t>transmits signals from light receptors in the retina to the brain</w:t>
            </w:r>
          </w:p>
        </w:tc>
        <w:tc>
          <w:tcPr>
            <w:tcW w:w="2226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</w:pPr>
          </w:p>
        </w:tc>
        <w:tc>
          <w:tcPr>
            <w:tcW w:w="2664" w:type="dxa"/>
            <w:shd w:val="pct20" w:color="auto" w:fill="auto"/>
          </w:tcPr>
          <w:p w:rsidR="00000000" w:rsidRDefault="001E5718">
            <w:pPr>
              <w:pStyle w:val="Text"/>
              <w:spacing w:before="30" w:after="30"/>
            </w:pPr>
          </w:p>
        </w:tc>
      </w:tr>
    </w:tbl>
    <w:p w:rsidR="00000000" w:rsidRDefault="001E5718">
      <w:pPr>
        <w:pStyle w:val="Text"/>
        <w:rPr>
          <w:sz w:val="2"/>
        </w:rPr>
      </w:pPr>
    </w:p>
    <w:sectPr w:rsidR="0000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66" w:bottom="576" w:left="1440" w:header="70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5718">
      <w:r>
        <w:separator/>
      </w:r>
    </w:p>
  </w:endnote>
  <w:endnote w:type="continuationSeparator" w:id="0">
    <w:p w:rsidR="00000000" w:rsidRDefault="001E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Copy"/>
    </w:pPr>
  </w:p>
  <w:p w:rsidR="00000000" w:rsidRDefault="001E5718">
    <w:pPr>
      <w:pStyle w:val="Footer"/>
      <w:framePr w:w="302" w:wrap="around" w:vAnchor="text" w:hAnchor="page" w:x="1040" w:y="6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1E5718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</w:t>
    </w:r>
    <w:r>
      <w:t xml:space="preserve">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Copy"/>
      <w:ind w:right="360"/>
    </w:pPr>
  </w:p>
  <w:p w:rsidR="00000000" w:rsidRDefault="001E5718">
    <w:pPr>
      <w:pStyle w:val="Footer"/>
      <w:framePr w:w="360" w:wrap="around" w:vAnchor="text" w:hAnchor="page" w:x="10844" w:y="3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1E5718">
    <w:pPr>
      <w:pStyle w:val="Copy"/>
    </w:pPr>
    <w:r>
      <w:t xml:space="preserve">Copyright © 2001, McGraw-Hill Ryerson Limited, a Subsidiary of the McGraw-Hill Companies. All rights reserved. </w:t>
    </w:r>
    <w:r>
      <w:br/>
      <w:t>This page may be reproduced for classroom use by the purchaser of th</w:t>
    </w:r>
    <w:r>
      <w:t xml:space="preserve">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Copy"/>
    </w:pPr>
  </w:p>
  <w:p w:rsidR="00000000" w:rsidRDefault="001E5718">
    <w:pPr>
      <w:pStyle w:val="Copy"/>
    </w:pPr>
    <w:r>
      <w:t>Copyright © 2006, McGraw-Hill Ryerson Limited, a Subsidiary of the McGraw-Hill Companies. All rig</w:t>
    </w:r>
    <w:r>
      <w:t xml:space="preserve">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5718">
      <w:r>
        <w:separator/>
      </w:r>
    </w:p>
  </w:footnote>
  <w:footnote w:type="continuationSeparator" w:id="0">
    <w:p w:rsidR="00000000" w:rsidRDefault="001E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1E5718">
          <w:pPr>
            <w:pStyle w:val="BLM"/>
            <w:ind w:hanging="20"/>
          </w:pPr>
          <w:r>
            <w:t>BLM 3-11</w:t>
          </w:r>
        </w:p>
        <w:p w:rsidR="00000000" w:rsidRDefault="001E5718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1E5718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000000" w:rsidRDefault="001E5718">
          <w:pPr>
            <w:pStyle w:val="BLM"/>
            <w:ind w:hanging="20"/>
          </w:pPr>
          <w:r>
            <w:t>BLM 3-11</w:t>
          </w:r>
        </w:p>
        <w:p w:rsidR="00000000" w:rsidRDefault="001E5718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000000" w:rsidRDefault="001E571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E5718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000000">
      <w:tblPrEx>
        <w:tblCellMar>
          <w:top w:w="0" w:type="dxa"/>
          <w:bottom w:w="0" w:type="dxa"/>
        </w:tblCellMar>
      </w:tblPrEx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1E5718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6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000000" w:rsidRDefault="001E5718">
          <w:pPr>
            <w:pStyle w:val="title"/>
            <w:spacing w:before="40"/>
          </w:pPr>
          <w:r>
            <w:t xml:space="preserve">Comparing the Functions of </w:t>
          </w:r>
          <w:r>
            <w:br/>
            <w:t>a Human Eye and a Camera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000000" w:rsidRDefault="001E5718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2-33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00000" w:rsidRDefault="001E5718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000000" w:rsidRDefault="001E5718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000000" w:rsidRDefault="001E5718">
          <w:pPr>
            <w:ind w:left="42"/>
            <w:rPr>
              <w:b/>
            </w:rPr>
          </w:pPr>
        </w:p>
      </w:tc>
    </w:tr>
  </w:tbl>
  <w:p w:rsidR="00000000" w:rsidRDefault="001E5718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F2811D4"/>
    <w:multiLevelType w:val="hybridMultilevel"/>
    <w:tmpl w:val="76FE5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65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18"/>
    <w:rsid w:val="001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basedOn w:val="DefaultParagraphFont"/>
    <w:rPr>
      <w:vanish w:val="0"/>
      <w:color w:val="FF0000"/>
    </w:rPr>
  </w:style>
  <w:style w:type="character" w:styleId="PageNumber">
    <w:name w:val="page number"/>
    <w:basedOn w:val="DefaultParagraphFont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">
    <w:name w:val="title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pagination\BLM%20BC%20Science%208\Paginated\Ist%20pass\unit2%202nd%20set\templae-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templae-right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roopa</dc:creator>
  <cp:lastModifiedBy>Windows User</cp:lastModifiedBy>
  <cp:revision>2</cp:revision>
  <cp:lastPrinted>2006-08-02T03:05:00Z</cp:lastPrinted>
  <dcterms:created xsi:type="dcterms:W3CDTF">2016-02-22T22:22:00Z</dcterms:created>
  <dcterms:modified xsi:type="dcterms:W3CDTF">2016-02-22T22:22:00Z</dcterms:modified>
</cp:coreProperties>
</file>